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jc w:val="center"/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</w:pPr>
      <w:bookmarkStart w:id="0" w:name="_GoBack"/>
      <w:bookmarkEnd w:id="0"/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Организатор торгов -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кционерное общество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«Российский аукционный дом» 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Продавец - </w:t>
      </w:r>
      <w:r>
        <w:rPr>
          <w:rFonts w:ascii="Times New Roman" w:hAnsi="Times New Roman"/>
          <w:sz w:val="24"/>
          <w:szCs w:val="24"/>
        </w:rPr>
        <w:t xml:space="preserve">Акционерное общество «Волгоградские межрайонные электрические сети»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</w:rPr>
        <w:t xml:space="preserve">АО «ВМЭС»</w:t>
      </w:r>
      <w:r>
        <w:rPr>
          <w:rFonts w:ascii="Times New Roman" w:hAnsi="Times New Roman"/>
          <w:sz w:val="24"/>
          <w:szCs w:val="24"/>
        </w:rPr>
        <w:t xml:space="preserve">)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Tahoma"/>
          <w:b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Tahoma"/>
          <w:b/>
          <w:bCs/>
          <w:sz w:val="28"/>
          <w:szCs w:val="28"/>
          <w:lang w:eastAsia="hi-IN" w:bidi="hi-IN"/>
        </w:rPr>
        <w:t xml:space="preserve">Открытые торги </w:t>
      </w:r>
      <w:r>
        <w:rPr>
          <w:rFonts w:ascii="Times New Roman" w:hAnsi="Times New Roman" w:eastAsia="SimSun" w:cs="Tahoma"/>
          <w:b/>
          <w:bCs/>
          <w:sz w:val="28"/>
          <w:szCs w:val="28"/>
          <w:lang w:eastAsia="hi-IN" w:bidi="hi-IN"/>
        </w:rPr>
        <w:t xml:space="preserve">27</w:t>
      </w:r>
      <w:r>
        <w:rPr>
          <w:rFonts w:ascii="Times New Roman" w:hAnsi="Times New Roman" w:eastAsia="SimSun" w:cs="Tahoma"/>
          <w:b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Tahoma"/>
          <w:b/>
          <w:bCs/>
          <w:sz w:val="28"/>
          <w:szCs w:val="28"/>
          <w:lang w:eastAsia="hi-IN" w:bidi="hi-IN"/>
        </w:rPr>
        <w:t xml:space="preserve">июня</w:t>
      </w:r>
      <w:r>
        <w:rPr>
          <w:rFonts w:ascii="Times New Roman" w:hAnsi="Times New Roman" w:eastAsia="SimSun" w:cs="Tahoma"/>
          <w:b/>
          <w:bCs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SimSun" w:cs="Tahoma"/>
          <w:b/>
          <w:bCs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eastAsia="SimSun" w:cs="Tahoma"/>
          <w:b/>
          <w:bCs/>
          <w:sz w:val="28"/>
          <w:szCs w:val="28"/>
          <w:lang w:eastAsia="hi-IN" w:bidi="hi-IN"/>
        </w:rPr>
        <w:t xml:space="preserve"> года время 10:00</w:t>
      </w:r>
      <w:r>
        <w:rPr>
          <w:rFonts w:ascii="Times New Roman" w:hAnsi="Times New Roman" w:eastAsia="SimSun" w:cs="Tahoma"/>
          <w:b/>
          <w:bCs/>
          <w:sz w:val="28"/>
          <w:szCs w:val="28"/>
          <w:lang w:eastAsia="hi-IN" w:bidi="hi-IN"/>
        </w:rPr>
        <w:t xml:space="preserve"> 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Электронны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орги проводятся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электронной торговой площадке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АО «Российский аукционный дом» по адресу </w:t>
      </w:r>
      <w:hyperlink r:id="rId10" w:history="1">
        <w:r>
          <w:rPr>
            <w:rFonts w:ascii="Times New Roman" w:hAnsi="Times New Roman" w:eastAsia="Times New Roman" w:cs="Times New Roman"/>
            <w:color w:val="000080"/>
            <w:sz w:val="24"/>
            <w:szCs w:val="24"/>
            <w:u w:val="single"/>
            <w:lang w:eastAsia="ru-RU"/>
          </w:rPr>
          <w:t xml:space="preserve">www.lot-online.ru</w:t>
        </w:r>
      </w:hyperlink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Прием заявок – с 1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:00 часов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мая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июня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 20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25</w:t>
      </w:r>
    </w:p>
    <w:p>
      <w:pPr>
        <w:widowControl w:val="off"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Задаток должен поступить на счет Организатора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торгов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позднее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июня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5</w:t>
      </w:r>
    </w:p>
    <w:p>
      <w:pPr>
        <w:widowControl w:val="off"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Определение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торгов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оформление протокола о допуске осуществляется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25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июня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 202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5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 w:bidi="hi-IN"/>
        </w:rPr>
        <w:t xml:space="preserve"> 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Форма проведения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торгов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открытая по составу участников и открытая по способу подачи предложений по цене, с применением метода понижения начальной цены с возможностью повышения (публичное предложение).</w:t>
      </w:r>
    </w:p>
    <w:p>
      <w:pPr>
        <w:widowControl w:val="off"/>
        <w:spacing w:after="0" w:line="240" w:lineRule="auto"/>
        <w:ind w:left="1065"/>
        <w:jc w:val="both"/>
        <w:rPr>
          <w:rFonts w:ascii="Times New Roman" w:hAnsi="Times New Roman" w:eastAsia="SimSun" w:cs="Tahoma"/>
          <w:sz w:val="16"/>
          <w:szCs w:val="16"/>
          <w:shd w:val="clear" w:color="auto" w:fill="ffffff"/>
          <w:lang w:eastAsia="hi-IN" w:bidi="hi-IN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По вопросам в отношении объектов обращаться по </w:t>
      </w: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телефон</w:t>
      </w: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у</w:t>
      </w: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или на электронную почту: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 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7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-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967-246-44-29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,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11" w:history="1">
        <w:r>
          <w:rPr>
            <w:rStyle w:val="af"/>
            <w:rFonts w:ascii="Times New Roman" w:hAnsi="Times New Roman" w:eastAsia="SimSun" w:cs="Tahoma"/>
            <w:sz w:val="24"/>
            <w:szCs w:val="24"/>
            <w:shd w:val="clear" w:color="auto" w:fill="ffffff"/>
            <w:lang w:eastAsia="hi-IN" w:bidi="hi-IN"/>
          </w:rPr>
          <w:t xml:space="preserve">pf@auction-house.ru</w:t>
        </w:r>
      </w:hyperlink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Cs/>
          <w:i/>
          <w:sz w:val="24"/>
          <w:szCs w:val="24"/>
          <w:shd w:val="clear" w:color="auto" w:fill="ffffff"/>
          <w:lang w:eastAsia="hi-IN" w:bidi="hi-IN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Cs/>
          <w:i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bCs/>
          <w:i/>
          <w:sz w:val="24"/>
          <w:szCs w:val="24"/>
          <w:shd w:val="clear" w:color="auto" w:fill="ffffff"/>
          <w:lang w:eastAsia="hi-IN" w:bidi="hi-IN"/>
        </w:rPr>
        <w:t xml:space="preserve">Сведения об объектах, реализуемых </w:t>
      </w:r>
      <w:r>
        <w:rPr>
          <w:rFonts w:ascii="Times New Roman" w:hAnsi="Times New Roman" w:eastAsia="SimSun" w:cs="Tahoma"/>
          <w:bCs/>
          <w:i/>
          <w:sz w:val="24"/>
          <w:szCs w:val="24"/>
          <w:shd w:val="clear" w:color="auto" w:fill="ffffff"/>
          <w:lang w:eastAsia="hi-IN" w:bidi="hi-IN"/>
        </w:rPr>
        <w:t xml:space="preserve">на торгах </w:t>
      </w:r>
      <w:r>
        <w:rPr>
          <w:rFonts w:ascii="Times New Roman" w:hAnsi="Times New Roman" w:eastAsia="SimSun" w:cs="Tahoma"/>
          <w:bCs/>
          <w:i/>
          <w:sz w:val="24"/>
          <w:szCs w:val="24"/>
          <w:shd w:val="clear" w:color="auto" w:fill="ffffff"/>
          <w:lang w:eastAsia="hi-IN" w:bidi="hi-IN"/>
        </w:rPr>
        <w:t xml:space="preserve">единым лотом</w:t>
      </w:r>
      <w:r>
        <w:rPr>
          <w:rFonts w:ascii="Times New Roman" w:hAnsi="Times New Roman" w:eastAsia="SimSun" w:cs="Tahoma"/>
          <w:b/>
          <w:bCs/>
          <w:i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eastAsia="SimSun" w:cs="Tahoma"/>
          <w:bCs/>
          <w:i/>
          <w:sz w:val="24"/>
          <w:szCs w:val="24"/>
          <w:shd w:val="clear" w:color="auto" w:fill="ffffff"/>
          <w:lang w:eastAsia="hi-IN" w:bidi="hi-IN"/>
        </w:rPr>
        <w:t xml:space="preserve">(далее – Лот, Объекты, Имущество):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Cs/>
          <w:sz w:val="24"/>
          <w:szCs w:val="24"/>
          <w:shd w:val="clear" w:color="auto" w:fill="ffffff"/>
          <w:lang w:eastAsia="hi-IN" w:bidi="hi-IN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/>
          <w:bCs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b/>
          <w:bCs/>
          <w:sz w:val="24"/>
          <w:szCs w:val="24"/>
          <w:shd w:val="clear" w:color="auto" w:fill="ffffff"/>
          <w:lang w:eastAsia="hi-IN" w:bidi="hi-IN"/>
        </w:rPr>
        <w:t xml:space="preserve">Лот 1.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Недвижимое имущество: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/>
          <w:bCs/>
          <w:sz w:val="24"/>
          <w:szCs w:val="24"/>
          <w:highlight w:val="yellow"/>
          <w:shd w:val="clear" w:color="auto" w:fill="ffffff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ahoma"/>
          <w:b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b/>
          <w:sz w:val="24"/>
          <w:szCs w:val="24"/>
          <w:shd w:val="clear" w:color="auto" w:fill="ffffff"/>
          <w:lang w:eastAsia="hi-IN" w:bidi="hi-IN"/>
        </w:rPr>
        <w:t xml:space="preserve">Нежилое здание (административное здание)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ул -, д -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34:28:000000:2962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474,4 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2.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прав и обременение объекта недвижимости: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34:28:000000:2962-34/209/2018-3 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20.12.2018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(здание хозяйственного блока)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р-н Среднеахтубинский,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34:28:120009:232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9,4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этажей, в том числе подземных этажей: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34:28:120009:232-34/209/2018-3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23.12.2018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(летняя кухня)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Волгоградская, р-н Среднеахтубинский,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34:00:000000:21889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24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34:00:000000:21889-34/209/2018-2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19.12.2018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1)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34:00:000000:21901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14,5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34:00:000000:21901-34/209/2018-3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27.12.2018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2)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34:00:000000:21861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14,2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34:00:000000:21861-34/209/2018-3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22.12.2018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3)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34:00:000000:21885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14,5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34:00:000000:21885-34/209/2018-3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22.12.2018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4)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34:00:000000:21849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14,2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34:00:000000:21849-34/209/2018-3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19.12.2018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5)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34:00:000000:21910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14,7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в том числе подземных 0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34:00:000000:21910-34/209/2018-2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23.12.2018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6)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д. -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34:00:000000:21902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14,4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34:00:000000:21902-34/209/2018-3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23.12.2018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7)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34:00:000000:21862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7,3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Ограничения (обременения) права: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34:00:000000:21862-34/209/2018-2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19.12.2018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8)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-н Среднеахтубинский, х. Репино, летний домик №8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34:28:120009:233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7,4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34:28:120009:233-34/209/2018-3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23.12.2018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9)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Волгоградская область, р-н Среднеахтубинский, х. Репино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д. -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34:00:000000:21911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7,3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34:00:000000:21911-34/209/2018-2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20.12.2018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</w:t>
      </w: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10</w:t>
      </w: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34:00:000000:21850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7,3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34:00:000000:21850-34/209/2018-3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28.12.2018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11)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34:00:000000:21890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7,3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34:00:000000:21890-34/2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09/2018-2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22.12.2018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d"/>
        <w:widowControl w:val="off"/>
        <w:numPr>
          <w:numId w:val="4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12)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Среднеахтубинский,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34:00:000000:21912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7,3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34:00:000000:21912-34/209/2018-2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22.12.2018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Движимое имущество: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Кухонный гарнитур,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56172100003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Плита «Лада»,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51512200002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Стол бильярдный,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96326000021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Стол теннисный,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56251000001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Электрокамин,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3468510006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Макет чучела,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96986000003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Столешница,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52568600009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Кровать с пружинным матрасом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(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шт.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)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56140000002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Электрокамин ЭНУ-12 «Кристина»,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34685600020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Кровать дуб кремона+матрас,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56140000001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Кондиционер JAX ACN-09HE внутренний блок+внешний блок, инв.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51423300010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Трансформатор оздоровительной базы «Репино», инв.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04219720008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Бетономешалка дизельная,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341000900001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Вибростанок для произв.строит.блоков,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341000900002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Оборудования водоочистки оздоровительной базы «Репино»,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341000900018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Пожарная сигнализация,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341000900030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Купалка,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341000200001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Огражден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ие оздоровительной базы «Репино»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341000204940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Скважина водозаборная оздоровительной базы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«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Репино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341000204941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Металлический склад,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341000204942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Пожарная емкость оздоровительной базы «Репино»,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341000800730</w:t>
      </w:r>
    </w:p>
    <w:p>
      <w:pPr>
        <w:pStyle w:val="ad"/>
        <w:widowControl w:val="off"/>
        <w:numPr>
          <w:numId w:val="2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Электроводонагреватель ARISTON,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49331000009</w:t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SimSun" w:cs="Times New Roman"/>
          <w:sz w:val="16"/>
          <w:szCs w:val="16"/>
          <w:highlight w:val="yellow"/>
          <w:lang w:eastAsia="hi-IN" w:bidi="hi-IN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Объекты расположены на земельном участке общей площадью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13 000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кв.м.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кадастровый номер: 34:28:120015:21,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местоположение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естоположение установлено относительно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ориентира, расположенного за пределами участка.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Ориентир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 Волгоградская, р-н Среднеахтубинский, Клетский сельсовет, х. Репино.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Участок находится примерно в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700 м, по направлению на юго-запад от ориентира. Почтовый адрес ориентира: Волгоградская область, р-н.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Среднеахтубинский, х. Клетский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категория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зем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ель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- земли особо охраняемых территорий и объектов, с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видом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разрешенн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использовани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я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под базу отдыха. Земельный участок используется Продавцом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на основании догов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ора аренды № 349 от 24.11.2014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сроком на 49 лет. 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</w:t>
      </w:r>
      <w:r>
        <w:rPr>
          <w:rFonts w:ascii="Times New Roman" w:hAnsi="Times New Roman"/>
          <w:sz w:val="24"/>
        </w:rPr>
        <w:t xml:space="preserve">22.04.2025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 xml:space="preserve">КУВИ-001/2025-94397106 в разделе «Сведения о частях земельного участка».</w:t>
      </w:r>
      <w:r>
        <w:rPr>
          <w:rFonts w:ascii="Times New Roman" w:hAnsi="Times New Roman"/>
          <w:sz w:val="24"/>
        </w:rPr>
        <w:t xml:space="preserve"> 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imes New Roman"/>
          <w:sz w:val="24"/>
          <w:szCs w:val="24"/>
          <w:highlight w:val="yellow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hi-IN" w:bidi="hi-IN"/>
        </w:rPr>
        <w:t xml:space="preserve"> 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Начальная цена -  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19 700 000</w:t>
      </w:r>
      <w:r>
        <w:rPr>
          <w:rFonts w:ascii="Times New Roman" w:hAnsi="Times New Roman" w:eastAsia="SimSun" w:cs="Tahoma"/>
          <w:b/>
          <w:bCs/>
          <w:sz w:val="24"/>
          <w:szCs w:val="24"/>
          <w:vertAlign w:val="superscript"/>
          <w:lang w:eastAsia="hi-IN" w:bidi="hi-IN"/>
        </w:rPr>
        <w:footnoteReference w:id="1"/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(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д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евятнадцать миллионов семьсот тысяч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) рубл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ей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00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копе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ек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, с учетом НДС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20%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- 3 283 333 руб. 33 коп. 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Минимальная цена – 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9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8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5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0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 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0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00</w:t>
      </w:r>
      <w:r>
        <w:rPr>
          <w:rFonts w:ascii="Times New Roman" w:hAnsi="Times New Roman" w:eastAsia="SimSun" w:cs="Tahoma"/>
          <w:b/>
          <w:bCs/>
          <w:sz w:val="24"/>
          <w:szCs w:val="24"/>
          <w:vertAlign w:val="superscript"/>
          <w:lang w:eastAsia="hi-IN" w:bidi="hi-IN"/>
        </w:rPr>
        <w:footnoteReference w:id="2"/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(девять миллионов восемьсот пятьдесят тысяч)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ру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блей 00 копеек, с учетом НДС 20%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-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1 641 666 руб. 67 коп.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Сумма задатка – 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3 940 000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(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три миллиона девятьсот сорок тысяч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) рублей 00 копеек, НДС не облагается.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/>
          <w:bCs/>
          <w:sz w:val="24"/>
          <w:szCs w:val="24"/>
          <w:shd w:val="clear" w:color="auto" w:fill="ffffff"/>
          <w:lang w:eastAsia="hi-IN" w:bidi="hi-IN"/>
        </w:rPr>
        <w:t xml:space="preserve">Шаг торгов на повышение – </w:t>
      </w: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61 562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 (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шестьдесят одна тысяча пятьсот шестьдесят два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)</w:t>
      </w: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 рубл</w:t>
      </w: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я</w:t>
      </w: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 00 копеек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/>
          <w:bCs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Шаг торгов на понижение </w:t>
      </w:r>
      <w:r>
        <w:rPr>
          <w:rFonts w:ascii="Times New Roman" w:hAnsi="Times New Roman" w:eastAsia="SimSun" w:cs="Tahoma"/>
          <w:b/>
          <w:bCs/>
          <w:sz w:val="24"/>
          <w:szCs w:val="24"/>
          <w:shd w:val="clear" w:color="auto" w:fill="ffffff"/>
          <w:lang w:eastAsia="hi-IN" w:bidi="hi-IN"/>
        </w:rPr>
        <w:t xml:space="preserve">– </w:t>
      </w: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615 625 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(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шестьсот пятнадцать тысяч шестьсот двадцать пять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) </w:t>
      </w:r>
      <w:r>
        <w:rPr>
          <w:rFonts w:ascii="Times New Roman" w:hAnsi="Times New Roman" w:eastAsia="SimSun" w:cs="Tahoma"/>
          <w:b/>
          <w:sz w:val="24"/>
          <w:szCs w:val="24"/>
          <w:lang w:eastAsia="hi-IN" w:bidi="hi-IN"/>
        </w:rPr>
        <w:t xml:space="preserve">рублей 00 копеек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/>
          <w:bCs/>
          <w:sz w:val="16"/>
          <w:szCs w:val="16"/>
          <w:shd w:val="clear" w:color="auto" w:fill="ffffff"/>
          <w:lang w:eastAsia="hi-IN" w:bidi="hi-IN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Торги проводятся в соответствии с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Агентским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договором №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34202101000463 от 25.03.2021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 г.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 (далее – Договор)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 и Заявкой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на организацию и проведение торгов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от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17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.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04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.202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5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№ 6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к Договору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Продавец гарантирует, что Объекты продажи никому не проданы, не заложены, не являются предметом судебного разбирательства, не обременены правами третьих лиц, не находятся под арестом.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ahoma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торгов, а также порядок проведения торгов регулируется Регламентом Системы электронных торгов (СЭТ) АО «Российский аукционный дом» 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, утвержденным Организатором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и размещенным на 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сайте </w:t>
      </w:r>
      <w:hyperlink r:id="rId12" w:history="1">
        <w:r>
          <w:rPr>
            <w:rFonts w:ascii="Times New Roman" w:hAnsi="Times New Roman" w:eastAsia="SimSun" w:cs="Tahoma"/>
            <w:color w:val="000080"/>
            <w:sz w:val="24"/>
            <w:szCs w:val="24"/>
            <w:u w:val="single"/>
            <w:lang w:val="en-US" w:eastAsia="hi-IN" w:bidi="hi-IN"/>
          </w:rPr>
          <w:t xml:space="preserve">www</w:t>
        </w:r>
        <w:r>
          <w:rPr>
            <w:rFonts w:ascii="Times New Roman" w:hAnsi="Times New Roman" w:eastAsia="SimSun" w:cs="Tahoma"/>
            <w:color w:val="000080"/>
            <w:sz w:val="24"/>
            <w:szCs w:val="24"/>
            <w:u w:val="single"/>
            <w:lang w:eastAsia="hi-IN" w:bidi="hi-IN"/>
          </w:rPr>
          <w:t xml:space="preserve">.</w:t>
        </w:r>
        <w:r>
          <w:rPr>
            <w:rFonts w:ascii="Times New Roman" w:hAnsi="Times New Roman" w:eastAsia="SimSun" w:cs="Tahoma"/>
            <w:color w:val="000080"/>
            <w:sz w:val="24"/>
            <w:szCs w:val="24"/>
            <w:u w:val="single"/>
            <w:lang w:val="en-US" w:eastAsia="hi-IN" w:bidi="hi-IN"/>
          </w:rPr>
          <w:t xml:space="preserve">lot</w:t>
        </w:r>
        <w:r>
          <w:rPr>
            <w:rFonts w:ascii="Times New Roman" w:hAnsi="Times New Roman" w:eastAsia="SimSun" w:cs="Tahoma"/>
            <w:color w:val="000080"/>
            <w:sz w:val="24"/>
            <w:szCs w:val="24"/>
            <w:u w:val="single"/>
            <w:lang w:eastAsia="hi-IN" w:bidi="hi-IN"/>
          </w:rPr>
          <w:t xml:space="preserve">-</w:t>
        </w:r>
        <w:r>
          <w:rPr>
            <w:rFonts w:ascii="Times New Roman" w:hAnsi="Times New Roman" w:eastAsia="SimSun" w:cs="Tahoma"/>
            <w:color w:val="000080"/>
            <w:sz w:val="24"/>
            <w:szCs w:val="24"/>
            <w:u w:val="single"/>
            <w:lang w:val="en-US" w:eastAsia="hi-IN" w:bidi="hi-IN"/>
          </w:rPr>
          <w:t xml:space="preserve">online</w:t>
        </w:r>
        <w:r>
          <w:rPr>
            <w:rFonts w:ascii="Times New Roman" w:hAnsi="Times New Roman" w:eastAsia="SimSun" w:cs="Tahoma"/>
            <w:color w:val="000080"/>
            <w:sz w:val="24"/>
            <w:szCs w:val="24"/>
            <w:u w:val="single"/>
            <w:lang w:eastAsia="hi-IN" w:bidi="hi-IN"/>
          </w:rPr>
          <w:t xml:space="preserve">.</w:t>
        </w:r>
        <w:r>
          <w:rPr>
            <w:rFonts w:ascii="Times New Roman" w:hAnsi="Times New Roman" w:eastAsia="SimSun" w:cs="Tahoma"/>
            <w:color w:val="000080"/>
            <w:sz w:val="24"/>
            <w:szCs w:val="24"/>
            <w:u w:val="single"/>
            <w:lang w:val="en-US" w:eastAsia="hi-IN" w:bidi="hi-IN"/>
          </w:rPr>
          <w:t xml:space="preserve">ru</w:t>
        </w:r>
      </w:hyperlink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 (далее - Регламент).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Порядок работы с денежными средствами, перечисляемыми Претендентом Организатору торгов в качестве Задатка при проведении торгов регулируется Регламентом «О порядке работы с денежными средствами, перечисляемыми при проведении электронной продажи на право заключения договора аренды, договора безвозмездного пользования, договора доверительного управления имуществом, иного договора, предусматривающего переход прав в отношении государственного и муниципального имущества, а также торгов по продаже активов государственных корпораций, компаний с государственным участием», утвержденным Организатором торгов и размещенным на сайте </w:t>
      </w:r>
      <w:hyperlink r:id="rId13" w:history="1">
        <w:r>
          <w:rPr>
            <w:rFonts w:ascii="Times New Roman" w:hAnsi="Times New Roman" w:eastAsia="SimSun" w:cs="Tahoma"/>
            <w:bCs/>
            <w:color w:val="000080"/>
            <w:sz w:val="24"/>
            <w:szCs w:val="24"/>
            <w:u w:val="single"/>
          </w:rPr>
          <w:t xml:space="preserve">www.lot-online.ru</w:t>
        </w:r>
      </w:hyperlink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. (далее – Регламент по работе с денежными средствами). 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Tahoma"/>
          <w:b/>
          <w:bCs/>
          <w:sz w:val="24"/>
          <w:szCs w:val="24"/>
          <w:shd w:val="clear" w:color="auto" w:fill="ffffff"/>
          <w:lang w:eastAsia="hi-IN" w:bidi="hi-IN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Tahoma"/>
          <w:b/>
          <w:bCs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b/>
          <w:bCs/>
          <w:sz w:val="24"/>
          <w:szCs w:val="24"/>
          <w:shd w:val="clear" w:color="auto" w:fill="ffffff"/>
          <w:lang w:eastAsia="hi-IN" w:bidi="hi-IN"/>
        </w:rPr>
        <w:t xml:space="preserve">Условия проведения </w:t>
      </w:r>
      <w:r>
        <w:rPr>
          <w:rFonts w:ascii="Times New Roman" w:hAnsi="Times New Roman" w:eastAsia="SimSun" w:cs="Tahoma"/>
          <w:b/>
          <w:sz w:val="24"/>
          <w:szCs w:val="24"/>
          <w:shd w:val="clear" w:color="auto" w:fill="ffffff"/>
          <w:lang w:eastAsia="hi-IN" w:bidi="hi-IN"/>
        </w:rPr>
        <w:t xml:space="preserve">торгов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ahoma"/>
          <w:b/>
          <w:bCs/>
          <w:sz w:val="16"/>
          <w:szCs w:val="16"/>
          <w:lang w:eastAsia="hi-IN" w:bidi="hi-IN"/>
        </w:rPr>
      </w:pP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Торги проводятся в форме продажи посредством публичного предложения, открытой по составу участников и по способу подачи предложений по цене в электронной форме.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К участию в торгах допускаются физические лица и юридические лица, своевременно подавшие заявку на участие в торгах, представившие документы в соответствии с перечнем, размещенном в разделе «документы к торгам/лоту» на официальном сайте АО «РАД» </w:t>
      </w:r>
      <w:hyperlink r:id="rId14" w:history="1">
        <w:r>
          <w:rPr>
            <w:rStyle w:val="af"/>
            <w:rFonts w:ascii="Times New Roman" w:hAnsi="Times New Roman" w:eastAsia="Times New Roman" w:cs="Times New Roman"/>
            <w:sz w:val="24"/>
            <w:szCs w:val="24"/>
            <w:lang w:eastAsia="hi-IN" w:bidi="hi-IN"/>
          </w:rPr>
          <w:t xml:space="preserve">www.auction-house.ru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и электронной торговой площадке </w:t>
      </w:r>
      <w:hyperlink r:id="rId15" w:history="1">
        <w:r>
          <w:rPr>
            <w:rStyle w:val="af"/>
            <w:rFonts w:ascii="Times New Roman" w:hAnsi="Times New Roman" w:eastAsia="Times New Roman" w:cs="Times New Roman"/>
            <w:sz w:val="24"/>
            <w:szCs w:val="24"/>
            <w:lang w:eastAsia="hi-IN" w:bidi="hi-IN"/>
          </w:rPr>
          <w:t xml:space="preserve">www.lot-online.ru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, и обеспечившие поступление задатка на счет О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рганизатора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 в указанный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в настоящем информационном сообщении срок. 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Список документов, необходимых для участия в электронн</w:t>
      </w: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ых</w:t>
      </w: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торгах и порядок проведения электронных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 размещены на сайтах </w:t>
      </w:r>
      <w:hyperlink r:id="rId16" w:history="1">
        <w:r>
          <w:rPr>
            <w:rFonts w:ascii="Times New Roman" w:hAnsi="Times New Roman" w:eastAsia="SimSun" w:cs="Times New Roman"/>
            <w:b/>
            <w:color w:val="000080"/>
            <w:sz w:val="24"/>
            <w:szCs w:val="24"/>
            <w:u w:val="single"/>
          </w:rPr>
          <w:t xml:space="preserve">www.auction-house.ru</w:t>
        </w:r>
      </w:hyperlink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 и </w:t>
      </w:r>
      <w:hyperlink r:id="rId17" w:history="1">
        <w:r>
          <w:rPr>
            <w:rFonts w:ascii="Times New Roman" w:hAnsi="Times New Roman" w:eastAsia="SimSun" w:cs="Times New Roman"/>
            <w:b/>
            <w:color w:val="000080"/>
            <w:sz w:val="24"/>
            <w:szCs w:val="24"/>
            <w:u w:val="single"/>
          </w:rPr>
          <w:t xml:space="preserve">www.lot-online.ru</w:t>
        </w:r>
      </w:hyperlink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 в разделе «Документы к лоту» (аукционная документация).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Обязанность доказать свое право на участие в торгах лежит на претенденте.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 w:bidi="hi-IN"/>
        </w:rPr>
        <w:t xml:space="preserve">Заявка подписывается электронной подписью Претендента. К заявке прилагаются подписанные </w:t>
      </w:r>
      <w:hyperlink r:id="rId18" w:history="1">
        <w:r>
          <w:rPr>
            <w:rFonts w:ascii="Times New Roman" w:hAnsi="Times New Roman" w:eastAsia="Times New Roman" w:cs="Times New Roman"/>
            <w:color w:val="000080"/>
            <w:sz w:val="24"/>
            <w:szCs w:val="24"/>
            <w:u w:val="single"/>
            <w:lang w:eastAsia="ru-RU"/>
          </w:rPr>
          <w:t xml:space="preserve">электронной подписью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 w:bidi="hi-IN"/>
        </w:rPr>
        <w:t xml:space="preserve"> Претендента документы.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ahoma"/>
          <w:sz w:val="24"/>
          <w:szCs w:val="24"/>
          <w:lang w:eastAsia="ru-RU" w:bidi="hi-IN"/>
        </w:rPr>
      </w:pPr>
      <w:r>
        <w:rPr>
          <w:rFonts w:ascii="Times New Roman" w:hAnsi="Times New Roman" w:eastAsia="Times New Roman" w:cs="Tahoma"/>
          <w:sz w:val="24"/>
          <w:szCs w:val="24"/>
          <w:lang w:eastAsia="ru-RU" w:bidi="hi-IN"/>
        </w:rPr>
        <w:t xml:space="preserve">Для участия в торгах Претендент вносит задаток в порядке, предусмотренном Регламентом по работе с денежными средствами, в соответствии с условиями договора о задатке и условиями настоящего 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информационного сообщения</w:t>
      </w:r>
      <w:r>
        <w:rPr>
          <w:rFonts w:ascii="Times New Roman" w:hAnsi="Times New Roman" w:eastAsia="Times New Roman" w:cs="Tahoma"/>
          <w:sz w:val="24"/>
          <w:szCs w:val="24"/>
          <w:lang w:eastAsia="ru-RU" w:bidi="hi-IN"/>
        </w:rPr>
        <w:t xml:space="preserve">, путем перечисления денежных средств на любой из нижеуказанных расчетных счетов.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bCs/>
          <w:sz w:val="16"/>
          <w:szCs w:val="16"/>
          <w:lang w:eastAsia="hi-IN" w:bidi="hi-IN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  <w:t xml:space="preserve">Расчетные счета АО «Российский аукционный дом»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i-IN" w:bidi="hi-IN"/>
        </w:rPr>
        <w:t xml:space="preserve"> ИНН 7838430413, КПП 783801001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- р/с 407 028 100 550 400 10531 в Северо-Западном банке РФ ПАО Сбербанк г. Санкт-Петербург, к/с 301 018 105 000 000 00653, БИК 044030653;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- р/с 407 028 103 903 500 01935 в ПАО "БАНК"САНКТ-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ПЕТЕРБУРГ", г. Санкт-Петербург, к/с 301 018 109 000 000 00790, БИК 044030790.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Задаток должен поступить на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один из указанных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счет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ов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Организатора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  <w:t xml:space="preserve">не позд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  <w:t xml:space="preserve">нее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  <w:t xml:space="preserve">0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  <w:t xml:space="preserve">.202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hi-IN" w:bidi="hi-IN"/>
        </w:rPr>
        <w:t xml:space="preserve"> г.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ahoma"/>
          <w:b/>
          <w:bCs/>
          <w:sz w:val="24"/>
          <w:szCs w:val="24"/>
          <w:lang w:eastAsia="ru-RU" w:bidi="hi-IN"/>
        </w:rPr>
      </w:pPr>
      <w:r>
        <w:rPr>
          <w:rFonts w:ascii="Times New Roman" w:hAnsi="Times New Roman" w:eastAsia="Times New Roman" w:cs="Tahoma"/>
          <w:b/>
          <w:bCs/>
          <w:sz w:val="24"/>
          <w:szCs w:val="24"/>
          <w:lang w:eastAsia="ru-RU" w:bidi="hi-IN"/>
        </w:rPr>
        <w:t xml:space="preserve">В платежном поручении в части «Назначение платежа» должна содержаться информация: «№ л/с ____________Средства для проведения операций по обеспечению участия в электронных торгах. НДС не облагается».</w:t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ahoma"/>
          <w:sz w:val="24"/>
          <w:szCs w:val="24"/>
          <w:lang w:eastAsia="ru-RU" w:bidi="hi-IN"/>
        </w:rPr>
      </w:pPr>
      <w:r>
        <w:rPr>
          <w:rFonts w:ascii="Times New Roman" w:hAnsi="Times New Roman" w:eastAsia="Times New Roman" w:cs="Tahoma"/>
          <w:sz w:val="24"/>
          <w:szCs w:val="24"/>
          <w:lang w:eastAsia="ru-RU" w:bidi="hi-IN"/>
        </w:rPr>
        <w:t xml:space="preserve">Сумма денежных средств, поступившая Организатору торгов в качестве Задатка на один из указанных расчетных счетов, зачисляется на лицевой счет Претендента. </w:t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ahoma"/>
          <w:sz w:val="24"/>
          <w:szCs w:val="24"/>
          <w:lang w:eastAsia="ru-RU" w:bidi="hi-IN"/>
        </w:rPr>
      </w:pPr>
      <w:r>
        <w:rPr>
          <w:rFonts w:ascii="Times New Roman" w:hAnsi="Times New Roman" w:eastAsia="Times New Roman" w:cs="Tahoma"/>
          <w:sz w:val="24"/>
          <w:szCs w:val="24"/>
          <w:lang w:eastAsia="ru-RU" w:bidi="hi-IN"/>
        </w:rPr>
        <w:t xml:space="preserve">В случае, если суммы денежных средств, находящейся на лицевом счете Претендента, недостаточно для оплаты задатка, осуществление Претендентом подачи заявки на участие в торгах невозможно.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color w:val="000000"/>
          <w:sz w:val="24"/>
          <w:szCs w:val="24"/>
          <w:lang w:eastAsia="hi-IN" w:bidi="hi-IN"/>
        </w:rPr>
        <w:t xml:space="preserve">В случае непредоставления Претендентом подписанного договора о задатке, подача Претендентом заявки считается акцептом размещенного на электронной площадке договора о задатке.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i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hi-IN" w:bidi="hi-IN"/>
        </w:rPr>
        <w:t xml:space="preserve">Задаток подлежит перечислению на один из указанных счетов Организатора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i-IN" w:bidi="hi-IN"/>
        </w:rPr>
        <w:t xml:space="preserve">в соответствии с условиями договора о задатке (договором присоединения) и перечисляется непосредственно стороной по договору о задатке (договору присоединения)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hi-IN" w:bidi="hi-IN"/>
        </w:rPr>
        <w:t xml:space="preserve"> Перечисление задатка третьими лицами не допускается.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Задаток служит обеспечением исполнения обязательств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Победителя торгов по заключению договора купли-продажи и оплате приобретенных на торгах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Объектов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. Задаток возвращается всем участникам торгов, кроме победителя торгов, в течение 5 (пяти) банковских дней с даты подведения итогов торгов. Задаток, полученный от Победителя торгов засчитывается в счет оплаты цены продажи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по договору купли-продажи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Объектов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торгов, опубликованными в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информационном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сообщении о проведении торгов.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</w:p>
    <w:p>
      <w:pPr>
        <w:widowControl w:val="off"/>
        <w:spacing w:after="0" w:line="19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Организатором торгов рассматриваются заявки и документы Претендентов, устанавливаются факты поступления от Претендентов задатков. По результатам рассмотрения документов Организатор торгов принимает решение о признании Претендента участником торгов или об отказе в допуске Претендента к участию в торгах, которое оформляется протоколом определения участников торгов.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Заявки, поступившие после истечения срока приема заявок, указанного в сообщении о проведении торгов, Организатором торгов не принимаются.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Для участия в торгах Претендент может подать только одну заявку.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Претендент приобретает статус участника торгов с момента подписания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Организатором торгов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указанного протокола.</w:t>
      </w:r>
    </w:p>
    <w:p>
      <w:pPr>
        <w:widowControl w:val="off"/>
        <w:spacing w:after="0" w:line="19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Претендент вправе отозвать заявку на участие в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Задаток возвращается Претенденту в течение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 (трех) банковских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дней со дня поступления Организатору торгов от Претендента уведомления об отзыве заявки путем перечисления суммы внесенного Задатка в том порядке, в каком он был внесен Претендентом. </w:t>
      </w:r>
    </w:p>
    <w:p>
      <w:pPr>
        <w:widowControl w:val="off"/>
        <w:spacing w:after="0" w:line="190" w:lineRule="atLeast"/>
        <w:ind w:firstLine="709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торгов в электронной форме, при этом первоначальная заявка должна быть отозвана.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Ознакомиться с условиями договора о задатке (договора присоединения), договора купли-продажи и иными сведениями об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Объектах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, выставляемых на продажу, можно с момента начала приема заявок по адресу Организатора торгов: 190000, Санкт-Петербург, пер. Гривцова д. 5, лит. В, на сайте Организатора торгов в сети Интернет по адресу </w:t>
      </w:r>
      <w:hyperlink r:id="rId19" w:history="1">
        <w:r>
          <w:rPr>
            <w:rFonts w:ascii="Times New Roman" w:hAnsi="Times New Roman" w:eastAsia="Times New Roman" w:cs="Times New Roman"/>
            <w:color w:val="000080"/>
            <w:sz w:val="24"/>
            <w:szCs w:val="24"/>
            <w:u w:val="single"/>
          </w:rPr>
          <w:t xml:space="preserve">www.auction-house.ru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и на электронной торговой площадке по адресу </w:t>
      </w:r>
      <w:hyperlink r:id="rId20" w:history="1">
        <w:r>
          <w:rPr>
            <w:rFonts w:ascii="Times New Roman" w:hAnsi="Times New Roman" w:eastAsia="Times New Roman" w:cs="Times New Roman"/>
            <w:color w:val="000080"/>
            <w:sz w:val="24"/>
            <w:szCs w:val="24"/>
            <w:u w:val="single"/>
          </w:rPr>
          <w:t xml:space="preserve">www.lot-online.ru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. 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hi-IN" w:bidi="hi-IN"/>
        </w:rPr>
        <w:t xml:space="preserve">Для осмотра Объектов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i-IN" w:bidi="hi-IN"/>
        </w:rPr>
        <w:t xml:space="preserve">, подлежащих реализации,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i-IN" w:bidi="hi-IN"/>
        </w:rPr>
        <w:t xml:space="preserve">необходимо сообщить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i-IN" w:bidi="hi-IN"/>
        </w:rPr>
        <w:t xml:space="preserve">по контактным телефонам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i-IN" w:bidi="hi-IN"/>
        </w:rPr>
        <w:t xml:space="preserve">, указанным в настоящем информационном сообщении,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i-IN" w:bidi="hi-IN"/>
        </w:rPr>
        <w:t xml:space="preserve"> или направить на электронную почту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i-IN" w:bidi="hi-IN"/>
        </w:rPr>
        <w:t xml:space="preserve"> соответствующий запрос с указанием желаемой даты, времени осмотра и перечня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hi-IN" w:bidi="hi-IN"/>
        </w:rPr>
        <w:t xml:space="preserve">ФИО лиц для оформления доступа на Объекты.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16"/>
          <w:szCs w:val="16"/>
          <w:lang w:eastAsia="hi-IN" w:bidi="hi-IN"/>
        </w:rPr>
      </w:pP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Претендент не допускается к участию в торгах в случае, если: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- заявка на участие в торгах не соответствует требованиям, установленным настоящим сообщением;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- представленные Претендентом документы оформлены с нарушением требований законодательства Российской Федерации и условий проведения торгов, опубликованных в настоящем информационном сообщении или сведения, содержащиеся в них, недостоверны;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- представленные документы не подтверждают права Претендента быть покупателем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Объектов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в соответствии с законодательством Российской Федерации; 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- не подтверждено поступление задатка на один из счетов, указанных в сообщении о проведении торгов, на дату, указанную в информационном сообщении.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Заявки принимаются к рассмотрению от лиц, имеющих полномочия на заключение договора купли-продажи.</w:t>
      </w:r>
    </w:p>
    <w:p>
      <w:pPr>
        <w:widowControl w:val="off"/>
        <w:tabs>
          <w:tab w:val="right" w:pos="4762" w:leader="dot"/>
        </w:tabs>
        <w:spacing w:after="0" w:line="210" w:lineRule="atLeast"/>
        <w:ind w:firstLine="720"/>
        <w:jc w:val="both"/>
        <w:rPr>
          <w:rFonts w:ascii="Times New Roman" w:hAnsi="Times New Roman" w:eastAsia="SimSun" w:cs="Tahoma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color w:val="000000"/>
          <w:sz w:val="24"/>
          <w:szCs w:val="24"/>
          <w:lang w:eastAsia="hi-IN" w:bidi="hi-IN"/>
        </w:rPr>
        <w:t xml:space="preserve">Победителем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SimSun" w:cs="Tahoma"/>
          <w:color w:val="000000"/>
          <w:sz w:val="24"/>
          <w:szCs w:val="24"/>
          <w:lang w:eastAsia="hi-IN" w:bidi="hi-IN"/>
        </w:rPr>
        <w:t xml:space="preserve"> признается Участник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SimSun" w:cs="Tahoma"/>
          <w:color w:val="000000"/>
          <w:sz w:val="24"/>
          <w:szCs w:val="24"/>
          <w:lang w:eastAsia="hi-IN" w:bidi="hi-IN"/>
        </w:rPr>
        <w:t xml:space="preserve">, который подтвердил цену первоначального предложения или цену предложения, сложившуюся на соответствующем «шаге», при отсутствии предложений других Участников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SimSun" w:cs="Tahoma"/>
          <w:color w:val="000000"/>
          <w:sz w:val="24"/>
          <w:szCs w:val="24"/>
          <w:lang w:eastAsia="hi-IN" w:bidi="hi-IN"/>
        </w:rPr>
        <w:t xml:space="preserve">. </w:t>
      </w:r>
    </w:p>
    <w:p>
      <w:pPr>
        <w:widowControl w:val="off"/>
        <w:tabs>
          <w:tab w:val="right" w:pos="4762" w:leader="dot"/>
        </w:tabs>
        <w:spacing w:after="0" w:line="210" w:lineRule="atLeast"/>
        <w:ind w:firstLine="720"/>
        <w:jc w:val="both"/>
        <w:rPr>
          <w:rFonts w:ascii="Times New Roman" w:hAnsi="Times New Roman" w:eastAsia="Times New Roman" w:cs="Tahoma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ahoma"/>
          <w:sz w:val="24"/>
          <w:szCs w:val="24"/>
          <w:lang w:eastAsia="hi-IN" w:bidi="hi-IN"/>
        </w:rPr>
        <w:t xml:space="preserve">Предложение по цене приобретения Лота, заявленное Победителем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Times New Roman" w:cs="Tahoma"/>
          <w:sz w:val="24"/>
          <w:szCs w:val="24"/>
          <w:lang w:eastAsia="hi-IN" w:bidi="hi-IN"/>
        </w:rPr>
        <w:t xml:space="preserve">, заносится в протокол подведения итогов о результатах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Times New Roman" w:cs="Tahoma"/>
          <w:sz w:val="24"/>
          <w:szCs w:val="24"/>
          <w:lang w:eastAsia="hi-IN" w:bidi="hi-IN"/>
        </w:rPr>
        <w:t xml:space="preserve">. </w:t>
      </w:r>
    </w:p>
    <w:p>
      <w:pPr>
        <w:widowControl w:val="off"/>
        <w:spacing w:after="0" w:line="19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Процедура электронной продажи посредством публичного предложения считается завершенной с момента подписания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Организатором торгов протокола о результатах торгов, содержащего: цену Лота, предложенную Победителем, и удостоверяющего право Победителя на заключение договора купли-продажи Объектов.</w:t>
      </w:r>
    </w:p>
    <w:p>
      <w:pPr>
        <w:widowControl w:val="off"/>
        <w:spacing w:after="0" w:line="190" w:lineRule="atLeast"/>
        <w:ind w:firstLine="709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После подписания протокола о результатах электронных торгов Победителю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электронных торгов.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Договор купли-продажи Объектов </w:t>
      </w:r>
      <w:r>
        <w:rPr>
          <w:rFonts w:ascii="Times New Roman" w:hAnsi="Times New Roman" w:eastAsia="Times New Roman" w:cs="Times New Roman"/>
          <w:sz w:val="24"/>
          <w:szCs w:val="24"/>
          <w:lang w:eastAsia="ar-SA" w:bidi="hi-IN"/>
        </w:rPr>
        <w:t xml:space="preserve">с Победителем торгов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заключается в течение 20 (двадцати) дней с момента подписания протокола об итогах торгов по цене, сформировавшейся по итогам торгов и по  форме договора купли-продажи, размещенной </w:t>
      </w:r>
      <w:r>
        <w:rPr>
          <w:rFonts w:ascii="Times New Roman" w:hAnsi="Times New Roman" w:eastAsia="SimSun" w:cs="Times New Roman"/>
          <w:sz w:val="24"/>
          <w:szCs w:val="24"/>
          <w:shd w:val="clear" w:color="auto" w:fill="ffffff"/>
          <w:lang w:eastAsia="hi-IN" w:bidi="hi-IN"/>
        </w:rPr>
        <w:t xml:space="preserve">на сайте</w:t>
      </w:r>
      <w:r>
        <w:rPr>
          <w:rFonts w:ascii="Times New Roman" w:hAnsi="Times New Roman" w:eastAsia="SimSun" w:cs="Times New Roman"/>
          <w:b/>
          <w:bCs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shd w:val="clear" w:color="auto" w:fill="ffffff"/>
          <w:lang w:eastAsia="hi-IN" w:bidi="hi-IN"/>
        </w:rPr>
        <w:t xml:space="preserve">Организатора торгов:</w:t>
      </w: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21" w:history="1"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val="en-US" w:eastAsia="hi-IN" w:bidi="hi-IN"/>
          </w:rPr>
          <w:t xml:space="preserve">www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eastAsia="hi-IN" w:bidi="hi-IN"/>
          </w:rPr>
          <w:t xml:space="preserve">.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val="en-US" w:eastAsia="hi-IN" w:bidi="hi-IN"/>
          </w:rPr>
          <w:t xml:space="preserve">auction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eastAsia="hi-IN" w:bidi="hi-IN"/>
          </w:rPr>
          <w:t xml:space="preserve">-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val="en-US" w:eastAsia="hi-IN" w:bidi="hi-IN"/>
          </w:rPr>
          <w:t xml:space="preserve">house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eastAsia="hi-IN" w:bidi="hi-IN"/>
          </w:rPr>
          <w:t xml:space="preserve">.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val="en-US" w:eastAsia="hi-IN" w:bidi="hi-IN"/>
          </w:rPr>
          <w:t xml:space="preserve">ru</w:t>
        </w:r>
      </w:hyperlink>
      <w:r>
        <w:rPr>
          <w:rFonts w:ascii="Times New Roman" w:hAnsi="Times New Roman" w:eastAsia="SimSun" w:cs="Times New Roman"/>
          <w:color w:val="00008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и электронной торговой площадке </w:t>
      </w:r>
      <w:hyperlink r:id="rId22" w:history="1">
        <w:r>
          <w:rPr>
            <w:rFonts w:ascii="Times New Roman" w:hAnsi="Times New Roman" w:eastAsia="Times New Roman" w:cs="Times New Roman"/>
            <w:color w:val="000080"/>
            <w:sz w:val="24"/>
            <w:szCs w:val="24"/>
            <w:u w:val="single"/>
            <w:lang w:eastAsia="ru-RU" w:bidi="hi-IN"/>
          </w:rPr>
          <w:t xml:space="preserve">www.lot-online.ru</w:t>
        </w:r>
      </w:hyperlink>
      <w:r>
        <w:rPr>
          <w:rFonts w:ascii="Times New Roman" w:hAnsi="Times New Roman" w:eastAsia="SimSun" w:cs="Times New Roman"/>
          <w:color w:val="00008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shd w:val="clear" w:color="auto" w:fill="ffffff"/>
          <w:lang w:eastAsia="hi-IN" w:bidi="hi-IN"/>
        </w:rPr>
        <w:t xml:space="preserve">в разделе «Документы к лоту».</w:t>
      </w:r>
    </w:p>
    <w:p>
      <w:pPr>
        <w:widowControl w:val="off"/>
        <w:spacing w:after="0" w:line="240" w:lineRule="auto"/>
        <w:ind w:firstLine="708"/>
        <w:jc w:val="both"/>
        <w:rPr>
          <w:rFonts w:ascii="Times New Roman" w:hAnsi="Times New Roman" w:eastAsia="SimSun" w:cs="Times New Roman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В случае, если торги признаны несостоявшимися в связи с наличием Единственного участника торгов, договор купли-продажи Объектов </w:t>
      </w:r>
      <w:r>
        <w:rPr>
          <w:rFonts w:ascii="Times New Roman" w:hAnsi="Times New Roman" w:eastAsia="Calibri" w:cs="Times New Roman"/>
          <w:sz w:val="24"/>
          <w:szCs w:val="24"/>
          <w:lang w:eastAsia="hi-IN" w:bidi="hi-IN"/>
        </w:rPr>
        <w:t xml:space="preserve">может быть заключен </w:t>
      </w:r>
      <w:r>
        <w:rPr>
          <w:rFonts w:ascii="Times New Roman" w:hAnsi="Times New Roman" w:eastAsia="Times New Roman" w:cs="Times New Roman"/>
          <w:sz w:val="24"/>
          <w:szCs w:val="24"/>
          <w:lang w:eastAsia="ar-SA" w:bidi="hi-IN"/>
        </w:rPr>
        <w:t xml:space="preserve">с Единственным участником торгов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в течение 20 (двадцати) дней с момента подписания протокола об итогах торгов по начальной цене и по форме договора купли-продажи, размещенной </w:t>
      </w:r>
      <w:r>
        <w:rPr>
          <w:rFonts w:ascii="Times New Roman" w:hAnsi="Times New Roman" w:eastAsia="SimSun" w:cs="Times New Roman"/>
          <w:sz w:val="24"/>
          <w:szCs w:val="24"/>
          <w:shd w:val="clear" w:color="auto" w:fill="ffffff"/>
          <w:lang w:eastAsia="hi-IN" w:bidi="hi-IN"/>
        </w:rPr>
        <w:t xml:space="preserve">на сайте</w:t>
      </w:r>
      <w:r>
        <w:rPr>
          <w:rFonts w:ascii="Times New Roman" w:hAnsi="Times New Roman" w:eastAsia="SimSun" w:cs="Times New Roman"/>
          <w:b/>
          <w:bCs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shd w:val="clear" w:color="auto" w:fill="ffffff"/>
          <w:lang w:eastAsia="hi-IN" w:bidi="hi-IN"/>
        </w:rPr>
        <w:t xml:space="preserve">Организатора торгов:</w:t>
      </w:r>
      <w:r>
        <w:rPr>
          <w:rFonts w:ascii="Times New Roman" w:hAnsi="Times New Roman" w:eastAsia="SimSun" w:cs="Times New Roman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hyperlink r:id="rId23" w:history="1"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val="en-US" w:eastAsia="hi-IN" w:bidi="hi-IN"/>
          </w:rPr>
          <w:t xml:space="preserve">www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eastAsia="hi-IN" w:bidi="hi-IN"/>
          </w:rPr>
          <w:t xml:space="preserve">.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val="en-US" w:eastAsia="hi-IN" w:bidi="hi-IN"/>
          </w:rPr>
          <w:t xml:space="preserve">auction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eastAsia="hi-IN" w:bidi="hi-IN"/>
          </w:rPr>
          <w:t xml:space="preserve">-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val="en-US" w:eastAsia="hi-IN" w:bidi="hi-IN"/>
          </w:rPr>
          <w:t xml:space="preserve">house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eastAsia="hi-IN" w:bidi="hi-IN"/>
          </w:rPr>
          <w:t xml:space="preserve">.</w:t>
        </w:r>
        <w:r>
          <w:rPr>
            <w:rFonts w:ascii="Times New Roman" w:hAnsi="Times New Roman" w:eastAsia="SimSun" w:cs="Times New Roman"/>
            <w:color w:val="000080"/>
            <w:sz w:val="24"/>
            <w:szCs w:val="24"/>
            <w:u w:val="single"/>
            <w:shd w:val="clear" w:color="auto" w:fill="ffffff"/>
            <w:lang w:val="en-US" w:eastAsia="hi-IN" w:bidi="hi-IN"/>
          </w:rPr>
          <w:t xml:space="preserve">ru</w:t>
        </w:r>
      </w:hyperlink>
      <w:r>
        <w:rPr>
          <w:rFonts w:ascii="Times New Roman" w:hAnsi="Times New Roman" w:eastAsia="SimSun" w:cs="Times New Roman"/>
          <w:color w:val="00008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и электронной торговой площадке </w:t>
      </w:r>
      <w:hyperlink r:id="rId24" w:history="1">
        <w:r>
          <w:rPr>
            <w:rFonts w:ascii="Times New Roman" w:hAnsi="Times New Roman" w:eastAsia="Times New Roman" w:cs="Times New Roman"/>
            <w:color w:val="000080"/>
            <w:sz w:val="24"/>
            <w:szCs w:val="24"/>
            <w:u w:val="single"/>
            <w:lang w:eastAsia="ru-RU" w:bidi="hi-IN"/>
          </w:rPr>
          <w:t xml:space="preserve">www.lot-online.ru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shd w:val="clear" w:color="auto" w:fill="ffffff"/>
          <w:lang w:eastAsia="hi-IN" w:bidi="hi-IN"/>
        </w:rPr>
        <w:t xml:space="preserve">в разделе «Документы к лоту».</w:t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eastAsia="SimSun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/>
          <w:bCs/>
          <w:color w:val="000000"/>
          <w:sz w:val="24"/>
          <w:szCs w:val="24"/>
          <w:lang w:eastAsia="hi-IN" w:bidi="hi-IN"/>
        </w:rPr>
        <w:t xml:space="preserve">Договор купли-продажи по итогам торгов подлежит заключению с учетом положений Указа Президента РФ </w:t>
      </w:r>
      <w:r>
        <w:rPr>
          <w:rFonts w:ascii="Times New Roman" w:hAnsi="Times New Roman" w:eastAsia="SimSun" w:cs="Tahoma"/>
          <w:b/>
          <w:bCs/>
          <w:color w:val="000000"/>
          <w:sz w:val="24"/>
          <w:szCs w:val="24"/>
          <w:lang w:eastAsia="hi-IN" w:bidi="hi-IN"/>
        </w:rPr>
        <w:t xml:space="preserve">№81 от 01.03.2022 «О дополнительных временных мерах экономического характера по обеспечению финансовой стабильности РФ».</w:t>
      </w:r>
    </w:p>
    <w:p>
      <w:pPr>
        <w:widowControl w:val="off"/>
        <w:spacing w:after="0" w:line="240" w:lineRule="auto"/>
        <w:ind w:firstLine="709"/>
        <w:contextualSpacing/>
        <w:jc w:val="both"/>
        <w:rPr>
          <w:rFonts w:ascii="Times New Roman" w:hAnsi="Times New Roman" w:eastAsia="SimSun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/>
          <w:bCs/>
          <w:color w:val="000000"/>
          <w:sz w:val="24"/>
          <w:szCs w:val="24"/>
          <w:lang w:eastAsia="hi-IN" w:bidi="hi-IN"/>
        </w:rPr>
        <w:t xml:space="preserve">Риски, связанные с отказом в заключении сделки по итогам торгов с учетом положений Указа Президента РФ, несет Покупатель.</w:t>
      </w:r>
    </w:p>
    <w:p>
      <w:pPr>
        <w:widowControl w:val="o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Оплата цены продажи Объектов производится Победителем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/Единственным участником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торгов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(покупателем) в порядке, установленном договором купли-продажи.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Расходы, необходимые для государственной регистрации перехода права собственности на Объекты к Покупателю, Покупатель несет самостоятельно.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При уклонении (отказе) Победителя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от заключения в установленный срок договора купли-продажи, оплаты цены продажи Объектов, задаток ему не возвращается.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ahoma"/>
          <w:b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b/>
          <w:sz w:val="24"/>
          <w:szCs w:val="24"/>
          <w:shd w:val="clear" w:color="auto" w:fill="ffffff"/>
          <w:lang w:eastAsia="hi-IN" w:bidi="hi-IN"/>
        </w:rPr>
        <w:t xml:space="preserve">Победитель торгов оплачивает Организатору торгов вознаграждение за организацию и проведение продажи Объектов в размере 4% (четырёх процентов) в том числе НДС от цены продажи Лота в течение 5 (пяти) рабочих дней с даты подведения итогов торгов.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ahoma"/>
          <w:b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b/>
          <w:sz w:val="24"/>
          <w:szCs w:val="24"/>
          <w:shd w:val="clear" w:color="auto" w:fill="ffffff"/>
          <w:lang w:eastAsia="hi-IN" w:bidi="hi-IN"/>
        </w:rPr>
        <w:t xml:space="preserve">Единственный участник торгов оплачивает Организатору торгов вознаграждение за организацию и проведение продажи Объектов в размере 4% (четырёх процентов) в том числе НДС от начальной цены Лота в течение 5 (пяти) рабочих дней с даты заключения договора купли-продажи.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SimSun" w:cs="Tahoma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Указанное вознаграждение Организатора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 не входит в цену Объектов и уплачивается сверх цены продажи Объектов, определенной по итогам торгов. 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За просрочку оплаты суммы вознаграждения, Организатор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 вправе потребовать от победителя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/единственного участника уплату пени в размере 0,1 % (одна десятая процента) от суммы просроченного платежа за каждый день просрочки.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           Условия о сроке и порядке выплаты вознаграждения Организатору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 являются публичной офертой в соответствии со статьей 437 Гражданского кодекса Российской Федерации. Подача претендентом заявки является акцептом такой оферты, и соглашение о выплате вознаграждения Организатора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 считается заключенным в установленном порядке.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eastAsia="Times New Roman" w:cs="Tahoma"/>
          <w:b/>
          <w:sz w:val="24"/>
          <w:szCs w:val="24"/>
          <w:lang w:eastAsia="ru-RU" w:bidi="hi-IN"/>
        </w:rPr>
      </w:pPr>
      <w:r>
        <w:rPr>
          <w:rFonts w:ascii="Times New Roman" w:hAnsi="Times New Roman" w:eastAsia="Times New Roman" w:cs="Tahoma"/>
          <w:b/>
          <w:sz w:val="24"/>
          <w:szCs w:val="24"/>
          <w:lang w:eastAsia="ru-RU" w:bidi="hi-IN"/>
        </w:rPr>
        <w:t xml:space="preserve">Торги признаются несостоявшимися в следующих случаях:</w:t>
      </w:r>
    </w:p>
    <w:p>
      <w:pPr>
        <w:spacing w:after="0" w:line="240" w:lineRule="auto"/>
        <w:jc w:val="both"/>
        <w:rPr>
          <w:rFonts w:ascii="Times New Roman" w:hAnsi="Times New Roman" w:eastAsia="Times New Roman" w:cs="Tahoma"/>
          <w:sz w:val="24"/>
          <w:szCs w:val="24"/>
          <w:lang w:eastAsia="ru-RU" w:bidi="hi-IN"/>
        </w:rPr>
      </w:pPr>
      <w:r>
        <w:rPr>
          <w:rFonts w:ascii="Times New Roman" w:hAnsi="Times New Roman" w:eastAsia="Times New Roman" w:cs="Tahoma"/>
          <w:sz w:val="24"/>
          <w:szCs w:val="24"/>
          <w:lang w:eastAsia="ru-RU" w:bidi="hi-IN"/>
        </w:rPr>
        <w:t xml:space="preserve">- отсутствие заявок на участие в торгах, либо ни один из Претендентов не признан участником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торгов</w:t>
      </w:r>
      <w:r>
        <w:rPr>
          <w:rFonts w:ascii="Times New Roman" w:hAnsi="Times New Roman" w:eastAsia="Times New Roman" w:cs="Tahoma"/>
          <w:sz w:val="24"/>
          <w:szCs w:val="24"/>
          <w:lang w:eastAsia="ru-RU" w:bidi="hi-IN"/>
        </w:rPr>
        <w:t xml:space="preserve">;</w:t>
      </w:r>
    </w:p>
    <w:p>
      <w:pPr>
        <w:spacing w:after="0" w:line="240" w:lineRule="auto"/>
        <w:jc w:val="both"/>
        <w:rPr>
          <w:rFonts w:ascii="Times New Roman" w:hAnsi="Times New Roman" w:eastAsia="Times New Roman" w:cs="Tahoma"/>
          <w:sz w:val="24"/>
          <w:szCs w:val="24"/>
          <w:lang w:eastAsia="ru-RU" w:bidi="hi-IN"/>
        </w:rPr>
      </w:pPr>
      <w:r>
        <w:rPr>
          <w:rFonts w:ascii="Times New Roman" w:hAnsi="Times New Roman" w:eastAsia="Times New Roman" w:cs="Tahoma"/>
          <w:sz w:val="24"/>
          <w:szCs w:val="24"/>
          <w:lang w:eastAsia="ru-RU" w:bidi="hi-IN"/>
        </w:rPr>
        <w:t xml:space="preserve">- к участию в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торгах</w:t>
      </w:r>
      <w:r>
        <w:rPr>
          <w:rFonts w:ascii="Times New Roman" w:hAnsi="Times New Roman" w:eastAsia="Times New Roman" w:cs="Tahoma"/>
          <w:sz w:val="24"/>
          <w:szCs w:val="24"/>
          <w:lang w:eastAsia="ru-RU" w:bidi="hi-IN"/>
        </w:rPr>
        <w:t xml:space="preserve"> допущен только один Претендент;</w:t>
      </w:r>
    </w:p>
    <w:p>
      <w:pPr>
        <w:spacing w:after="0" w:line="240" w:lineRule="auto"/>
        <w:jc w:val="both"/>
        <w:rPr>
          <w:rFonts w:ascii="Times New Roman" w:hAnsi="Times New Roman" w:eastAsia="Times New Roman" w:cs="Tahoma"/>
          <w:sz w:val="24"/>
          <w:szCs w:val="24"/>
          <w:lang w:eastAsia="ru-RU" w:bidi="hi-IN"/>
        </w:rPr>
      </w:pPr>
      <w:r>
        <w:rPr>
          <w:rFonts w:ascii="Times New Roman" w:hAnsi="Times New Roman" w:eastAsia="Times New Roman" w:cs="Tahoma"/>
          <w:sz w:val="24"/>
          <w:szCs w:val="24"/>
          <w:lang w:eastAsia="ru-RU" w:bidi="hi-IN"/>
        </w:rPr>
        <w:t xml:space="preserve">- ни один из участников не сделал предложения по минимальной цене </w:t>
      </w:r>
      <w:r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  <w:t xml:space="preserve">Объектов</w:t>
      </w:r>
      <w:r>
        <w:rPr>
          <w:rFonts w:ascii="Times New Roman" w:hAnsi="Times New Roman" w:eastAsia="Times New Roman" w:cs="Tahoma"/>
          <w:sz w:val="24"/>
          <w:szCs w:val="24"/>
          <w:lang w:eastAsia="ru-RU" w:bidi="hi-IN"/>
        </w:rPr>
        <w:t xml:space="preserve">.</w:t>
      </w:r>
    </w:p>
    <w:p/>
    <w:sectPr>
      <w:pgSz w:w="11906" w:h="16838"/>
      <w:pgMar w:top="85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Segoe UI">
    <w:panose1 w:val="020B0502040504020204"/>
  </w:font>
  <w:font w:name="Mangal">
    <w:panose1 w:val="02040503050406030204"/>
  </w:font>
  <w:font w:name="SimSun">
    <w:panose1 w:val="020005030300000200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6"/>
        <w:rPr>
          <w:color w:val="000000"/>
          <w:lang w:val="ru-RU"/>
        </w:rPr>
      </w:pPr>
      <w:r>
        <w:rPr>
          <w:rStyle w:val="a8"/>
        </w:rPr>
        <w:footnoteRef/>
      </w:r>
      <w:r>
        <w:t xml:space="preserve"> </w:t>
      </w:r>
      <w:r>
        <w:rPr>
          <w:lang w:val="ru-RU"/>
        </w:rPr>
        <w:t xml:space="preserve">В </w:t>
      </w:r>
      <w:r>
        <w:rPr>
          <w:lang w:val="ru-RU"/>
        </w:rPr>
        <w:t xml:space="preserve">том числе </w:t>
      </w:r>
      <w:r>
        <w:rPr>
          <w:lang w:val="ru-RU"/>
        </w:rPr>
        <w:t xml:space="preserve">начальная </w:t>
      </w:r>
      <w:r>
        <w:rPr>
          <w:lang w:val="ru-RU"/>
        </w:rPr>
        <w:t xml:space="preserve">цена движимого имущества в размере </w:t>
      </w:r>
      <w:r>
        <w:rPr>
          <w:lang w:val="ru-RU"/>
        </w:rPr>
        <w:t xml:space="preserve">34 146</w:t>
      </w:r>
      <w:r>
        <w:rPr>
          <w:lang w:val="ru-RU"/>
        </w:rPr>
        <w:t xml:space="preserve"> </w:t>
      </w:r>
      <w:r>
        <w:rPr>
          <w:lang w:val="ru-RU"/>
        </w:rPr>
        <w:t xml:space="preserve">рублей </w:t>
      </w:r>
      <w:r>
        <w:rPr>
          <w:lang w:val="ru-RU"/>
        </w:rPr>
        <w:t xml:space="preserve">00</w:t>
      </w:r>
      <w:r>
        <w:rPr>
          <w:lang w:val="ru-RU"/>
        </w:rPr>
        <w:t xml:space="preserve"> копеек</w:t>
      </w:r>
      <w:r>
        <w:rPr>
          <w:lang w:val="ru-RU"/>
        </w:rPr>
        <w:t xml:space="preserve">, без НДС</w:t>
      </w:r>
      <w:r>
        <w:rPr>
          <w:lang w:val="ru-RU"/>
        </w:rPr>
        <w:t xml:space="preserve">.</w:t>
      </w:r>
    </w:p>
    <w:p>
      <w:pPr>
        <w:pStyle w:val="a6"/>
        <w:rPr>
          <w:lang w:val="ru-RU"/>
        </w:rPr>
      </w:pPr>
      <w:r>
        <w:rPr>
          <w:lang w:val="ru-RU"/>
        </w:rPr>
        <w:t xml:space="preserve">В том числе </w:t>
      </w:r>
      <w:r>
        <w:rPr>
          <w:lang w:val="ru-RU"/>
        </w:rPr>
        <w:t xml:space="preserve">начальная </w:t>
      </w:r>
      <w:r>
        <w:rPr>
          <w:lang w:val="ru-RU"/>
        </w:rPr>
        <w:t xml:space="preserve">цена недвижимого имущества в размере </w:t>
      </w:r>
      <w:r>
        <w:rPr>
          <w:color w:val="000000"/>
          <w:lang w:val="ru-RU"/>
        </w:rPr>
        <w:t xml:space="preserve">19 665 854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рубля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00 </w:t>
      </w:r>
      <w:r>
        <w:rPr>
          <w:color w:val="000000"/>
          <w:lang w:val="ru-RU"/>
        </w:rPr>
        <w:t xml:space="preserve">копеек, без НДС</w:t>
      </w:r>
    </w:p>
  </w:footnote>
  <w:footnote w:id="2">
    <w:p>
      <w:pPr>
        <w:pStyle w:val="a6"/>
        <w:rPr>
          <w:color w:val="000000"/>
          <w:lang w:val="ru-RU"/>
        </w:rPr>
      </w:pPr>
      <w:r>
        <w:rPr>
          <w:rStyle w:val="a8"/>
        </w:rPr>
        <w:footnoteRef/>
      </w:r>
      <w:r>
        <w:t xml:space="preserve"> </w:t>
      </w:r>
      <w:r>
        <w:rPr>
          <w:lang w:val="ru-RU"/>
        </w:rPr>
        <w:t xml:space="preserve">В том числе минимальная цена движимого имущества в размере 17 073 рублей 00 копеек, без НДС.</w:t>
      </w:r>
    </w:p>
    <w:p>
      <w:pPr>
        <w:pStyle w:val="a6"/>
        <w:rPr>
          <w:lang w:val="ru-RU"/>
        </w:rPr>
      </w:pPr>
      <w:r>
        <w:rPr>
          <w:lang w:val="ru-RU"/>
        </w:rPr>
        <w:t xml:space="preserve">В том числе минимальная недвижимого имущества в размере </w:t>
      </w:r>
      <w:r>
        <w:rPr>
          <w:color w:val="000000"/>
          <w:lang w:val="ru-RU"/>
        </w:rPr>
        <w:t xml:space="preserve">9 832 927 рублей 00 копеек, без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pPr>
      <w:widowControl w:val="off"/>
      <w:spacing w:after="0" w:line="240" w:lineRule="auto"/>
    </w:pPr>
    <w:rPr>
      <w:rFonts w:ascii="Times New Roman" w:hAnsi="Times New Roman" w:eastAsia="SimSun" w:cs="Mangal"/>
      <w:sz w:val="20"/>
      <w:szCs w:val="18"/>
      <w:lang w:val="x-none" w:eastAsia="hi-IN" w:bidi="hi-IN"/>
    </w:rPr>
  </w:style>
  <w:style w:type="character" w:styleId="a5" w:customStyle="1">
    <w:name w:val="Текст примечания Знак"/>
    <w:basedOn w:val="a0"/>
    <w:link w:val="a4"/>
    <w:uiPriority w:val="99"/>
    <w:rPr>
      <w:rFonts w:ascii="Times New Roman" w:hAnsi="Times New Roman" w:eastAsia="SimSun" w:cs="Mangal"/>
      <w:sz w:val="20"/>
      <w:szCs w:val="18"/>
      <w:lang w:val="x-none" w:eastAsia="hi-IN" w:bidi="hi-IN"/>
    </w:rPr>
  </w:style>
  <w:style w:type="paragraph" w:styleId="a6">
    <w:name w:val="footnote text"/>
    <w:basedOn w:val="a"/>
    <w:link w:val="a7"/>
    <w:uiPriority w:val="99"/>
    <w:semiHidden/>
    <w:unhideWhenUsed/>
    <w:pPr>
      <w:widowControl w:val="off"/>
      <w:spacing w:after="0" w:line="240" w:lineRule="auto"/>
    </w:pPr>
    <w:rPr>
      <w:rFonts w:ascii="Times New Roman" w:hAnsi="Times New Roman" w:eastAsia="SimSun" w:cs="Mangal"/>
      <w:sz w:val="20"/>
      <w:szCs w:val="18"/>
      <w:lang w:val="x-none" w:eastAsia="hi-IN" w:bidi="hi-IN"/>
    </w:rPr>
  </w:style>
  <w:style w:type="character" w:styleId="a7" w:customStyle="1">
    <w:name w:val="Текст сноски Знак"/>
    <w:basedOn w:val="a0"/>
    <w:link w:val="a6"/>
    <w:uiPriority w:val="99"/>
    <w:semiHidden/>
    <w:rPr>
      <w:rFonts w:ascii="Times New Roman" w:hAnsi="Times New Roman" w:eastAsia="SimSun" w:cs="Mangal"/>
      <w:sz w:val="20"/>
      <w:szCs w:val="18"/>
      <w:lang w:val="x-none" w:eastAsia="hi-IN" w:bidi="hi-IN"/>
    </w:rPr>
  </w:style>
  <w:style w:type="character" w:styleId="a8">
    <w:name w:val="footnote reference"/>
    <w:uiPriority w:val="99"/>
    <w:semiHidden/>
    <w:unhideWhenUsed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annotation subject"/>
    <w:basedOn w:val="a4"/>
    <w:next w:val="a4"/>
    <w:link w:val="ac"/>
    <w:uiPriority w:val="99"/>
    <w:semiHidden/>
    <w:unhideWhenUsed/>
    <w:pPr>
      <w:widowControl/>
      <w:spacing w:after="160"/>
    </w:pPr>
    <w:rPr>
      <w:rFonts w:asciiTheme="minorHAnsi" w:hAnsiTheme="minorHAnsi" w:eastAsiaTheme="minorHAnsi" w:cstheme="minorBidi"/>
      <w:b/>
      <w:bCs/>
      <w:szCs w:val="20"/>
      <w:lang w:val="ru-RU" w:eastAsia="en-US" w:bidi="ar-SA"/>
    </w:rPr>
  </w:style>
  <w:style w:type="character" w:styleId="ac" w:customStyle="1">
    <w:name w:val="Тема примечания Знак"/>
    <w:basedOn w:val="a5"/>
    <w:link w:val="ab"/>
    <w:uiPriority w:val="99"/>
    <w:semiHidden/>
    <w:rPr>
      <w:rFonts w:ascii="Times New Roman" w:hAnsi="Times New Roman" w:eastAsia="SimSun" w:cs="Mangal"/>
      <w:b/>
      <w:bCs/>
      <w:sz w:val="20"/>
      <w:szCs w:val="20"/>
      <w:lang w:val="x-none" w:eastAsia="hi-IN" w:bidi="hi-IN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Revision"/>
    <w:hidden/>
    <w:uiPriority w:val="99"/>
    <w:semiHidden/>
    <w:pPr>
      <w:spacing w:after="0" w:line="240" w:lineRule="auto"/>
    </w:p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lot-online.ru" TargetMode="External"/><Relationship Id="rId11" Type="http://schemas.openxmlformats.org/officeDocument/2006/relationships/hyperlink" Target="mailto:pf@auction-house.ru" TargetMode="External"/><Relationship Id="rId12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4" Type="http://schemas.openxmlformats.org/officeDocument/2006/relationships/hyperlink" Target="http://www.auction-house.ru" TargetMode="External"/><Relationship Id="rId15" Type="http://schemas.openxmlformats.org/officeDocument/2006/relationships/hyperlink" Target="http://www.lot-online.ru" TargetMode="External"/><Relationship Id="rId16" Type="http://schemas.openxmlformats.org/officeDocument/2006/relationships/hyperlink" Target="http://www.auction-house.ru" TargetMode="External"/><Relationship Id="rId17" Type="http://schemas.openxmlformats.org/officeDocument/2006/relationships/hyperlink" Target="http://www.lot-online.ru" TargetMode="External"/><Relationship Id="rId18" Type="http://schemas.openxmlformats.org/officeDocument/2006/relationships/hyperlink" Target="consultantplus://offline/main?base=LAW;n=72518;fld=134" TargetMode="External"/><Relationship Id="rId19" Type="http://schemas.openxmlformats.org/officeDocument/2006/relationships/hyperlink" Target="http://www.auction-house.ru/" TargetMode="External"/><Relationship Id="rId20" Type="http://schemas.openxmlformats.org/officeDocument/2006/relationships/hyperlink" Target="http://www.lot-online.ru" TargetMode="External"/><Relationship Id="rId21" Type="http://schemas.openxmlformats.org/officeDocument/2006/relationships/hyperlink" Target="http://www.auction-house.ru" TargetMode="External"/><Relationship Id="rId22" Type="http://schemas.openxmlformats.org/officeDocument/2006/relationships/hyperlink" Target="http://www.lot-online.ru" TargetMode="External"/><Relationship Id="rId23" Type="http://schemas.openxmlformats.org/officeDocument/2006/relationships/hyperlink" Target="http://www.auction-house.ru" TargetMode="External"/><Relationship Id="rId24" Type="http://schemas.openxmlformats.org/officeDocument/2006/relationships/hyperlink" Target="http://www.lot-online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EC9F-FC98-4450-A452-FB730EC30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20079</Characters>
  <CharactersWithSpaces>23554</CharactersWithSpaces>
  <Company>MRSK-YUGA</Company>
  <DocSecurity>4</DocSecurity>
  <HyperlinksChanged>false</HyperlinksChanged>
  <Lines>167</Lines>
  <LinksUpToDate>false</LinksUpToDate>
  <Pages>8</Pages>
  <Paragraphs>47</Paragraphs>
  <ScaleCrop>false</ScaleCrop>
  <SharedDoc>false</SharedDoc>
  <Template>Normal</Template>
  <TotalTime>0</TotalTime>
  <Words>3522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Цыбулько Наталья Анатольевна</dc:creator>
  <cp:lastModifiedBy>Яковенко Екатерина Владимировна</cp:lastModifiedBy>
  <cp:revision>2</cp:revision>
  <cp:lastPrinted>2022-10-06T08:35:00Z</cp:lastPrinted>
  <dcterms:created xsi:type="dcterms:W3CDTF">2025-06-19T11:12:00Z</dcterms:created>
  <dcterms:modified xsi:type="dcterms:W3CDTF">2025-06-19T11:12:00Z</dcterms:modified>
</cp:coreProperties>
</file>